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DD81E" w14:textId="739A7DAE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C11E13">
        <w:rPr>
          <w:rFonts w:ascii="Times New Roman" w:hAnsi="Times New Roman" w:cs="Times New Roman"/>
          <w:sz w:val="24"/>
          <w:szCs w:val="24"/>
        </w:rPr>
        <w:br/>
        <w:t>Duyusal Analiz</w:t>
      </w:r>
      <w:r w:rsidR="00082186">
        <w:rPr>
          <w:rFonts w:ascii="Times New Roman" w:hAnsi="Times New Roman" w:cs="Times New Roman"/>
          <w:sz w:val="24"/>
          <w:szCs w:val="24"/>
        </w:rPr>
        <w:t xml:space="preserve"> GSD 222</w:t>
      </w:r>
    </w:p>
    <w:p w14:paraId="0638A462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C11E13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60700E5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C11E13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15BA1B00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C11E13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1FAA7F42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C11E13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6AE0B98D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C11E13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4A3B475D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C11E13">
        <w:rPr>
          <w:rFonts w:ascii="Times New Roman" w:hAnsi="Times New Roman" w:cs="Times New Roman"/>
          <w:sz w:val="24"/>
          <w:szCs w:val="24"/>
        </w:rPr>
        <w:br/>
        <w:t>Bu dersin amacı, öğrencilerin yiyecek ve içeceklerin tat, koku, görünüş, doku gibi duyusal özelliklerini bilimsel yöntemlerle değerlendirebilme becerisi kazanmalarını sağlamaktır.</w:t>
      </w:r>
    </w:p>
    <w:p w14:paraId="5F2D9F6A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74497D2C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Duyusal analiz kavramı ve önemi</w:t>
      </w:r>
    </w:p>
    <w:p w14:paraId="4253EEC1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Duyusal algılama mekanizmaları</w:t>
      </w:r>
    </w:p>
    <w:p w14:paraId="28FB4000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Tat, koku, renk, doku gibi duyuların analizi</w:t>
      </w:r>
    </w:p>
    <w:p w14:paraId="49D30A54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Duyusal test türleri (ayırıcı, tanımlayıcı, tercih testleri)</w:t>
      </w:r>
    </w:p>
    <w:p w14:paraId="4040198C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Panelist eğitimi ve panel kuralları</w:t>
      </w:r>
    </w:p>
    <w:p w14:paraId="7620F250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Numune hazırlama teknikleri</w:t>
      </w:r>
    </w:p>
    <w:p w14:paraId="68FCDAD3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Test ortamı ve test koşulları</w:t>
      </w:r>
    </w:p>
    <w:p w14:paraId="4763C2EB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Veri toplama ve değerlendirme yöntemleri</w:t>
      </w:r>
    </w:p>
    <w:p w14:paraId="59398B49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İstatistiksel analiz teknikleri</w:t>
      </w:r>
    </w:p>
    <w:p w14:paraId="0FA1482A" w14:textId="77777777" w:rsidR="00C11E13" w:rsidRPr="00C11E13" w:rsidRDefault="00C11E13" w:rsidP="00C11E1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Duyusal analiz raporlama</w:t>
      </w:r>
    </w:p>
    <w:p w14:paraId="395A222A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C11E13">
        <w:rPr>
          <w:rFonts w:ascii="Times New Roman" w:hAnsi="Times New Roman" w:cs="Times New Roman"/>
          <w:sz w:val="24"/>
          <w:szCs w:val="24"/>
        </w:rPr>
        <w:br/>
        <w:t>Yok</w:t>
      </w:r>
    </w:p>
    <w:p w14:paraId="51DD73DB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C11E13">
        <w:rPr>
          <w:rFonts w:ascii="Times New Roman" w:hAnsi="Times New Roman" w:cs="Times New Roman"/>
          <w:sz w:val="24"/>
          <w:szCs w:val="24"/>
        </w:rPr>
        <w:br/>
        <w:t>[Belirlenecek]</w:t>
      </w:r>
    </w:p>
    <w:p w14:paraId="37B28727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56F7C0E7" w14:textId="77777777" w:rsidR="00C11E13" w:rsidRPr="00C11E13" w:rsidRDefault="00C11E13" w:rsidP="00C11E1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Duyusal analiz kavramını açıklar.</w:t>
      </w:r>
    </w:p>
    <w:p w14:paraId="79B040AC" w14:textId="77777777" w:rsidR="00C11E13" w:rsidRPr="00C11E13" w:rsidRDefault="00C11E13" w:rsidP="00C11E1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Tat, koku, görünüm ve doku değerlendirmelerini yapar.</w:t>
      </w:r>
    </w:p>
    <w:p w14:paraId="79ADEFC1" w14:textId="77777777" w:rsidR="00C11E13" w:rsidRPr="00C11E13" w:rsidRDefault="00C11E13" w:rsidP="00C11E1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Farklı duyusal test yöntemlerini uygular.</w:t>
      </w:r>
    </w:p>
    <w:p w14:paraId="20D3C743" w14:textId="77777777" w:rsidR="00C11E13" w:rsidRPr="00C11E13" w:rsidRDefault="00C11E13" w:rsidP="00C11E1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lastRenderedPageBreak/>
        <w:t>Panel oluşturur ve test ortamını hazırlar.</w:t>
      </w:r>
    </w:p>
    <w:p w14:paraId="77900A76" w14:textId="77777777" w:rsidR="00C11E13" w:rsidRPr="00C11E13" w:rsidRDefault="00C11E13" w:rsidP="00C11E1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Duyusal verileri analiz eder ve yorumlar.</w:t>
      </w:r>
    </w:p>
    <w:p w14:paraId="6BEE48C0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  <w:r w:rsidRPr="00C11E13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2F69DF91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C11E13">
        <w:rPr>
          <w:rFonts w:ascii="Times New Roman" w:hAnsi="Times New Roman" w:cs="Times New Roman"/>
          <w:sz w:val="24"/>
          <w:szCs w:val="24"/>
        </w:rPr>
        <w:br/>
        <w:t>%70 devam zorunluluğu</w:t>
      </w:r>
    </w:p>
    <w:p w14:paraId="0BB29439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C11E13">
        <w:rPr>
          <w:rFonts w:ascii="Times New Roman" w:hAnsi="Times New Roman" w:cs="Times New Roman"/>
          <w:sz w:val="24"/>
          <w:szCs w:val="24"/>
        </w:rPr>
        <w:br/>
        <w:t>Vize: %40</w:t>
      </w:r>
      <w:r w:rsidRPr="00C11E13">
        <w:rPr>
          <w:rFonts w:ascii="Times New Roman" w:hAnsi="Times New Roman" w:cs="Times New Roman"/>
          <w:sz w:val="24"/>
          <w:szCs w:val="24"/>
        </w:rPr>
        <w:br/>
        <w:t>Final: %60</w:t>
      </w:r>
    </w:p>
    <w:p w14:paraId="5CECFA50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0A4BC454" w14:textId="77777777" w:rsidR="00C11E13" w:rsidRPr="00C11E13" w:rsidRDefault="00C11E13" w:rsidP="00C11E13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 xml:space="preserve">Lawless, H. T., &amp; Heymann, H. (2010). </w:t>
      </w:r>
      <w:r w:rsidRPr="00C11E13">
        <w:rPr>
          <w:rFonts w:ascii="Times New Roman" w:hAnsi="Times New Roman" w:cs="Times New Roman"/>
          <w:i/>
          <w:iCs/>
          <w:sz w:val="24"/>
          <w:szCs w:val="24"/>
        </w:rPr>
        <w:t>Sensory Evaluation of Food</w:t>
      </w:r>
    </w:p>
    <w:p w14:paraId="17B78842" w14:textId="77777777" w:rsidR="00C11E13" w:rsidRPr="00C11E13" w:rsidRDefault="00C11E13" w:rsidP="00C11E13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 xml:space="preserve">Sidel, J. L., &amp; Stone, H. (2004). </w:t>
      </w:r>
      <w:r w:rsidRPr="00C11E13">
        <w:rPr>
          <w:rFonts w:ascii="Times New Roman" w:hAnsi="Times New Roman" w:cs="Times New Roman"/>
          <w:i/>
          <w:iCs/>
          <w:sz w:val="24"/>
          <w:szCs w:val="24"/>
        </w:rPr>
        <w:t>Sensory Evaluation Practices</w:t>
      </w:r>
    </w:p>
    <w:p w14:paraId="76F31939" w14:textId="77777777" w:rsidR="00C11E13" w:rsidRPr="00C11E13" w:rsidRDefault="00C11E13" w:rsidP="00C11E13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Öğretim elemanı notları ve uygulama örnekleri</w:t>
      </w:r>
    </w:p>
    <w:p w14:paraId="671BAA53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3874"/>
      </w:tblGrid>
      <w:tr w:rsidR="00C11E13" w:rsidRPr="00C11E13" w14:paraId="4EACC31E" w14:textId="77777777" w:rsidTr="00C11E1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B620D7E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6BAC5E5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C11E13" w:rsidRPr="00C11E13" w14:paraId="42D73B2C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62BB1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5186FE51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Duyusal analiz kavramına giriş</w:t>
            </w:r>
          </w:p>
        </w:tc>
      </w:tr>
      <w:tr w:rsidR="00C11E13" w:rsidRPr="00C11E13" w14:paraId="0DC8D608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05E757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3B88E513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İnsan duyuları ve algılama sistemleri</w:t>
            </w:r>
          </w:p>
        </w:tc>
      </w:tr>
      <w:tr w:rsidR="00C11E13" w:rsidRPr="00C11E13" w14:paraId="4F12C95B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C7B95C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451EF110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Tat ve koku analizleri</w:t>
            </w:r>
          </w:p>
        </w:tc>
      </w:tr>
      <w:tr w:rsidR="00C11E13" w:rsidRPr="00C11E13" w14:paraId="01F4E9F2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37A08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4C2D53CE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Görünüm ve doku analizleri</w:t>
            </w:r>
          </w:p>
        </w:tc>
      </w:tr>
      <w:tr w:rsidR="00C11E13" w:rsidRPr="00C11E13" w14:paraId="6A22C4C2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BF8FCE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6EFC8FBA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Duyusal test türleri</w:t>
            </w:r>
          </w:p>
        </w:tc>
      </w:tr>
      <w:tr w:rsidR="00C11E13" w:rsidRPr="00C11E13" w14:paraId="35F9738D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E33FC9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7312DEC7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Panelist eğitimi ve test kuralları</w:t>
            </w:r>
          </w:p>
        </w:tc>
      </w:tr>
      <w:tr w:rsidR="00C11E13" w:rsidRPr="00C11E13" w14:paraId="23768A97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D2BA6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58467EAD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Numune hazırlama ve sunum teknikleri</w:t>
            </w:r>
          </w:p>
        </w:tc>
      </w:tr>
      <w:tr w:rsidR="00C11E13" w:rsidRPr="00C11E13" w14:paraId="7E1EB55B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F913C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0B635E20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C11E13" w:rsidRPr="00C11E13" w14:paraId="55E3A10E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06C0D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25DE22A3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Test ortamı hazırlığı</w:t>
            </w:r>
          </w:p>
        </w:tc>
      </w:tr>
      <w:tr w:rsidR="00C11E13" w:rsidRPr="00C11E13" w14:paraId="3FFC50E0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667C3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42E756DE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Duyusal veri toplama ve değerlendirme</w:t>
            </w:r>
          </w:p>
        </w:tc>
      </w:tr>
      <w:tr w:rsidR="00C11E13" w:rsidRPr="00C11E13" w14:paraId="562F229D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B76D21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10E256F8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İstatistiksel değerlendirme yöntemleri</w:t>
            </w:r>
          </w:p>
        </w:tc>
      </w:tr>
      <w:tr w:rsidR="00C11E13" w:rsidRPr="00C11E13" w14:paraId="19FE4884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4FB58D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31F4DE3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Uygulama örnekleri</w:t>
            </w:r>
          </w:p>
        </w:tc>
      </w:tr>
      <w:tr w:rsidR="00C11E13" w:rsidRPr="00C11E13" w14:paraId="394BE806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30A394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24004460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Raporlama teknikleri</w:t>
            </w:r>
          </w:p>
        </w:tc>
      </w:tr>
      <w:tr w:rsidR="00C11E13" w:rsidRPr="00C11E13" w14:paraId="44F88FA7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0FD28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16CCAC3E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Final sınavı</w:t>
            </w:r>
          </w:p>
        </w:tc>
      </w:tr>
    </w:tbl>
    <w:p w14:paraId="0EABDE4D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8"/>
        <w:gridCol w:w="3418"/>
        <w:gridCol w:w="1669"/>
      </w:tblGrid>
      <w:tr w:rsidR="00C11E13" w:rsidRPr="00C11E13" w14:paraId="58714ED6" w14:textId="77777777" w:rsidTr="00C11E1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7BE146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157E2834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23D90A6A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C11E13" w:rsidRPr="00C11E13" w14:paraId="6569FF0D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EA48C7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DÖÇ-1: Duyusal analizleri tanımlar.</w:t>
            </w:r>
          </w:p>
        </w:tc>
        <w:tc>
          <w:tcPr>
            <w:tcW w:w="0" w:type="auto"/>
            <w:vAlign w:val="center"/>
            <w:hideMark/>
          </w:tcPr>
          <w:p w14:paraId="6FF6B662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66BFC15D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3 (Yüksek)</w:t>
            </w:r>
          </w:p>
        </w:tc>
      </w:tr>
      <w:tr w:rsidR="00C11E13" w:rsidRPr="00C11E13" w14:paraId="1C66399E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A6FA3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DÖÇ-2: Duyusal testleri uygular.</w:t>
            </w:r>
          </w:p>
        </w:tc>
        <w:tc>
          <w:tcPr>
            <w:tcW w:w="0" w:type="auto"/>
            <w:vAlign w:val="center"/>
            <w:hideMark/>
          </w:tcPr>
          <w:p w14:paraId="444998D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5679DED3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3 (Yüksek)</w:t>
            </w:r>
          </w:p>
        </w:tc>
      </w:tr>
      <w:tr w:rsidR="00C11E13" w:rsidRPr="00C11E13" w14:paraId="24287125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D2AA2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DÖÇ-3: Panelist eğitimi yapar.</w:t>
            </w:r>
          </w:p>
        </w:tc>
        <w:tc>
          <w:tcPr>
            <w:tcW w:w="0" w:type="auto"/>
            <w:vAlign w:val="center"/>
            <w:hideMark/>
          </w:tcPr>
          <w:p w14:paraId="2C19403A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5FC1AD76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C11E13" w:rsidRPr="00C11E13" w14:paraId="4329347B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8953C9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DÖÇ-4: Verileri değerlendirir.</w:t>
            </w:r>
          </w:p>
        </w:tc>
        <w:tc>
          <w:tcPr>
            <w:tcW w:w="0" w:type="auto"/>
            <w:vAlign w:val="center"/>
            <w:hideMark/>
          </w:tcPr>
          <w:p w14:paraId="35601A77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42E415E8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C11E13" w:rsidRPr="00C11E13" w14:paraId="3B8ED99C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F2C4D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DÖÇ-5: Analiz sonuçlarını raporlar.</w:t>
            </w:r>
          </w:p>
        </w:tc>
        <w:tc>
          <w:tcPr>
            <w:tcW w:w="0" w:type="auto"/>
            <w:vAlign w:val="center"/>
            <w:hideMark/>
          </w:tcPr>
          <w:p w14:paraId="0CE342BE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0584326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723F0BFD" w14:textId="77777777" w:rsidR="00C11E13" w:rsidRPr="00C11E13" w:rsidRDefault="00000000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E4C1211">
          <v:rect id="_x0000_i1025" style="width:0;height:1.5pt" o:hrstd="t" o:hr="t" fillcolor="#a0a0a0" stroked="f"/>
        </w:pict>
      </w:r>
    </w:p>
    <w:p w14:paraId="27800793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C11E13">
        <w:rPr>
          <w:rFonts w:ascii="Times New Roman" w:hAnsi="Times New Roman" w:cs="Times New Roman"/>
          <w:sz w:val="24"/>
          <w:szCs w:val="24"/>
        </w:rPr>
        <w:br/>
        <w:t>Sensory Analysis</w:t>
      </w:r>
    </w:p>
    <w:p w14:paraId="75AF6D23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C11E13">
        <w:rPr>
          <w:rFonts w:ascii="Times New Roman" w:hAnsi="Times New Roman" w:cs="Times New Roman"/>
          <w:sz w:val="24"/>
          <w:szCs w:val="24"/>
        </w:rPr>
        <w:br/>
        <w:t>Turkish</w:t>
      </w:r>
    </w:p>
    <w:p w14:paraId="65FAD6A4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C11E13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63094664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C11E13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75DE4AFC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C11E13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6BEF8B86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C11E13">
        <w:rPr>
          <w:rFonts w:ascii="Times New Roman" w:hAnsi="Times New Roman" w:cs="Times New Roman"/>
          <w:sz w:val="24"/>
          <w:szCs w:val="24"/>
        </w:rPr>
        <w:br/>
        <w:t>Compulsory</w:t>
      </w:r>
    </w:p>
    <w:p w14:paraId="5FC875C2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C11E13">
        <w:rPr>
          <w:rFonts w:ascii="Times New Roman" w:hAnsi="Times New Roman" w:cs="Times New Roman"/>
          <w:sz w:val="24"/>
          <w:szCs w:val="24"/>
        </w:rPr>
        <w:br/>
        <w:t>The aim of this course is to provide students with the ability to scientifically evaluate the sensory characteristics of foods and beverages such as taste, aroma, appearance, and texture.</w:t>
      </w:r>
    </w:p>
    <w:p w14:paraId="285A8AD7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348D1B25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Concept and importance of sensory analysis</w:t>
      </w:r>
    </w:p>
    <w:p w14:paraId="24572765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Sensory perception mechanisms</w:t>
      </w:r>
    </w:p>
    <w:p w14:paraId="3E8F1613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Evaluation of taste, aroma, appearance, and texture</w:t>
      </w:r>
    </w:p>
    <w:p w14:paraId="124E9C37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Types of sensory tests (discriminative, descriptive, hedonic)</w:t>
      </w:r>
    </w:p>
    <w:p w14:paraId="6CCB9E21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Panelist training and test rules</w:t>
      </w:r>
    </w:p>
    <w:p w14:paraId="5A7E4203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Sample preparation techniques</w:t>
      </w:r>
    </w:p>
    <w:p w14:paraId="38B747D4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Test environment and conditions</w:t>
      </w:r>
    </w:p>
    <w:p w14:paraId="6A4B6894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Data collection and evaluation methods</w:t>
      </w:r>
    </w:p>
    <w:p w14:paraId="69F7EA6D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Statistical analysis techniques</w:t>
      </w:r>
    </w:p>
    <w:p w14:paraId="66E950AE" w14:textId="77777777" w:rsidR="00C11E13" w:rsidRPr="00C11E13" w:rsidRDefault="00C11E13" w:rsidP="00C11E1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Sensory reporting methods</w:t>
      </w:r>
    </w:p>
    <w:p w14:paraId="1FC9116F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Prerequisites:</w:t>
      </w:r>
      <w:r w:rsidRPr="00C11E13">
        <w:rPr>
          <w:rFonts w:ascii="Times New Roman" w:hAnsi="Times New Roman" w:cs="Times New Roman"/>
          <w:sz w:val="24"/>
          <w:szCs w:val="24"/>
        </w:rPr>
        <w:br/>
        <w:t>None</w:t>
      </w:r>
    </w:p>
    <w:p w14:paraId="7FAE8A37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C11E13">
        <w:rPr>
          <w:rFonts w:ascii="Times New Roman" w:hAnsi="Times New Roman" w:cs="Times New Roman"/>
          <w:sz w:val="24"/>
          <w:szCs w:val="24"/>
        </w:rPr>
        <w:br/>
        <w:t>[To be assigned]</w:t>
      </w:r>
    </w:p>
    <w:p w14:paraId="65F95757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29988C15" w14:textId="77777777" w:rsidR="00C11E13" w:rsidRPr="00C11E13" w:rsidRDefault="00C11E13" w:rsidP="00C11E1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Defines the concept of sensory analysis.</w:t>
      </w:r>
    </w:p>
    <w:p w14:paraId="5C42D58C" w14:textId="77777777" w:rsidR="00C11E13" w:rsidRPr="00C11E13" w:rsidRDefault="00C11E13" w:rsidP="00C11E1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Performs evaluations of taste, smell, appearance, and texture.</w:t>
      </w:r>
    </w:p>
    <w:p w14:paraId="0B07467C" w14:textId="77777777" w:rsidR="00C11E13" w:rsidRPr="00C11E13" w:rsidRDefault="00C11E13" w:rsidP="00C11E1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Applies various sensory testing methods.</w:t>
      </w:r>
    </w:p>
    <w:p w14:paraId="3127C8BB" w14:textId="77777777" w:rsidR="00C11E13" w:rsidRPr="00C11E13" w:rsidRDefault="00C11E13" w:rsidP="00C11E1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Organizes a sensory panel and prepares testing environments.</w:t>
      </w:r>
    </w:p>
    <w:p w14:paraId="5E4C84EC" w14:textId="77777777" w:rsidR="00C11E13" w:rsidRPr="00C11E13" w:rsidRDefault="00C11E13" w:rsidP="00C11E1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Analyzes and interprets sensory data.</w:t>
      </w:r>
    </w:p>
    <w:p w14:paraId="38944D84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C11E13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2C6E9D7E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C11E13">
        <w:rPr>
          <w:rFonts w:ascii="Times New Roman" w:hAnsi="Times New Roman" w:cs="Times New Roman"/>
          <w:sz w:val="24"/>
          <w:szCs w:val="24"/>
        </w:rPr>
        <w:br/>
        <w:t>Minimum 70% attendance required</w:t>
      </w:r>
    </w:p>
    <w:p w14:paraId="2A9CAAC4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C11E13">
        <w:rPr>
          <w:rFonts w:ascii="Times New Roman" w:hAnsi="Times New Roman" w:cs="Times New Roman"/>
          <w:sz w:val="24"/>
          <w:szCs w:val="24"/>
        </w:rPr>
        <w:br/>
        <w:t>Midterm: 40%</w:t>
      </w:r>
      <w:r w:rsidRPr="00C11E13">
        <w:rPr>
          <w:rFonts w:ascii="Times New Roman" w:hAnsi="Times New Roman" w:cs="Times New Roman"/>
          <w:sz w:val="24"/>
          <w:szCs w:val="24"/>
        </w:rPr>
        <w:br/>
        <w:t>Final: 60%</w:t>
      </w:r>
    </w:p>
    <w:p w14:paraId="574FD953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2D5120DE" w14:textId="77777777" w:rsidR="00C11E13" w:rsidRPr="00C11E13" w:rsidRDefault="00C11E13" w:rsidP="00C11E13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 xml:space="preserve">Lawless, H. T., &amp; Heymann, H. (2010). </w:t>
      </w:r>
      <w:r w:rsidRPr="00C11E13">
        <w:rPr>
          <w:rFonts w:ascii="Times New Roman" w:hAnsi="Times New Roman" w:cs="Times New Roman"/>
          <w:i/>
          <w:iCs/>
          <w:sz w:val="24"/>
          <w:szCs w:val="24"/>
        </w:rPr>
        <w:t>Sensory Evaluation of Food</w:t>
      </w:r>
    </w:p>
    <w:p w14:paraId="1C66A4B7" w14:textId="77777777" w:rsidR="00C11E13" w:rsidRPr="00C11E13" w:rsidRDefault="00C11E13" w:rsidP="00C11E13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 xml:space="preserve">Sidel, J. L., &amp; Stone, H. (2004). </w:t>
      </w:r>
      <w:r w:rsidRPr="00C11E13">
        <w:rPr>
          <w:rFonts w:ascii="Times New Roman" w:hAnsi="Times New Roman" w:cs="Times New Roman"/>
          <w:i/>
          <w:iCs/>
          <w:sz w:val="24"/>
          <w:szCs w:val="24"/>
        </w:rPr>
        <w:t>Sensory Evaluation Practices</w:t>
      </w:r>
    </w:p>
    <w:p w14:paraId="28C9BF92" w14:textId="77777777" w:rsidR="00C11E13" w:rsidRPr="00C11E13" w:rsidRDefault="00C11E13" w:rsidP="00C11E13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sz w:val="24"/>
          <w:szCs w:val="24"/>
        </w:rPr>
        <w:t>Instructor notes and application examples</w:t>
      </w:r>
    </w:p>
    <w:p w14:paraId="5EC71BA1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3755"/>
      </w:tblGrid>
      <w:tr w:rsidR="00C11E13" w:rsidRPr="00C11E13" w14:paraId="08EA32EA" w14:textId="77777777" w:rsidTr="00C11E1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7BD64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04D8B6D1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C11E13" w:rsidRPr="00C11E13" w14:paraId="1B023E96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AFFD52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4996031D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Introduction to sensory analysis</w:t>
            </w:r>
          </w:p>
        </w:tc>
      </w:tr>
      <w:tr w:rsidR="00C11E13" w:rsidRPr="00C11E13" w14:paraId="45BE8D47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27CC2C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51D078FE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Human senses and perception systems</w:t>
            </w:r>
          </w:p>
        </w:tc>
      </w:tr>
      <w:tr w:rsidR="00C11E13" w:rsidRPr="00C11E13" w14:paraId="0DDE1C62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EB0F0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1216C05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Taste and aroma evaluation</w:t>
            </w:r>
          </w:p>
        </w:tc>
      </w:tr>
      <w:tr w:rsidR="00C11E13" w:rsidRPr="00C11E13" w14:paraId="1D4A2418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F38D5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4682A6E9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Appearance and texture evaluation</w:t>
            </w:r>
          </w:p>
        </w:tc>
      </w:tr>
      <w:tr w:rsidR="00C11E13" w:rsidRPr="00C11E13" w14:paraId="5A5217AC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77254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0" w:type="auto"/>
            <w:vAlign w:val="center"/>
            <w:hideMark/>
          </w:tcPr>
          <w:p w14:paraId="75C9D089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Types of sensory tests</w:t>
            </w:r>
          </w:p>
        </w:tc>
      </w:tr>
      <w:tr w:rsidR="00C11E13" w:rsidRPr="00C11E13" w14:paraId="0BD2648C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62FDB9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62AC6CAF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Panelist training and rules</w:t>
            </w:r>
          </w:p>
        </w:tc>
      </w:tr>
      <w:tr w:rsidR="00C11E13" w:rsidRPr="00C11E13" w14:paraId="6DC1F1D9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6802B6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2E3CCE45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Sample preparation and presentation</w:t>
            </w:r>
          </w:p>
        </w:tc>
      </w:tr>
      <w:tr w:rsidR="00C11E13" w:rsidRPr="00C11E13" w14:paraId="02D37507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68084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0" w:type="auto"/>
            <w:vAlign w:val="center"/>
            <w:hideMark/>
          </w:tcPr>
          <w:p w14:paraId="661305D4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C11E13" w:rsidRPr="00C11E13" w14:paraId="6CC437DC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D4D50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1BCB9949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Preparing the testing environment</w:t>
            </w:r>
          </w:p>
        </w:tc>
      </w:tr>
      <w:tr w:rsidR="00C11E13" w:rsidRPr="00C11E13" w14:paraId="3C9E90B0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9FE646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10</w:t>
            </w:r>
          </w:p>
        </w:tc>
        <w:tc>
          <w:tcPr>
            <w:tcW w:w="0" w:type="auto"/>
            <w:vAlign w:val="center"/>
            <w:hideMark/>
          </w:tcPr>
          <w:p w14:paraId="1751EA84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Data collection and evaluation</w:t>
            </w:r>
          </w:p>
        </w:tc>
      </w:tr>
      <w:tr w:rsidR="00C11E13" w:rsidRPr="00C11E13" w14:paraId="308A22DC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17566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60A18C24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Statistical assessment methods</w:t>
            </w:r>
          </w:p>
        </w:tc>
      </w:tr>
      <w:tr w:rsidR="00C11E13" w:rsidRPr="00C11E13" w14:paraId="3F318FAF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682D56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3DA006CC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Practical examples</w:t>
            </w:r>
          </w:p>
        </w:tc>
      </w:tr>
      <w:tr w:rsidR="00C11E13" w:rsidRPr="00C11E13" w14:paraId="55DD2991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6202AA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2A0D28A6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Reporting techniques</w:t>
            </w:r>
          </w:p>
        </w:tc>
      </w:tr>
      <w:tr w:rsidR="00C11E13" w:rsidRPr="00C11E13" w14:paraId="65E4ABD0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908189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62C620C9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</w:tr>
    </w:tbl>
    <w:p w14:paraId="10A040E1" w14:textId="77777777" w:rsidR="00C11E13" w:rsidRPr="00C11E13" w:rsidRDefault="00C11E13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E13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1"/>
        <w:gridCol w:w="3606"/>
        <w:gridCol w:w="1995"/>
      </w:tblGrid>
      <w:tr w:rsidR="00C11E13" w:rsidRPr="00C11E13" w14:paraId="60DA07F3" w14:textId="77777777" w:rsidTr="00C11E1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EE5A3F2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7ACF5B32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7FEA76BC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C11E13" w:rsidRPr="00C11E13" w14:paraId="1E8016DB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6FE6A5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CLO-1: Defines sensory analysis.</w:t>
            </w:r>
          </w:p>
        </w:tc>
        <w:tc>
          <w:tcPr>
            <w:tcW w:w="0" w:type="auto"/>
            <w:vAlign w:val="center"/>
            <w:hideMark/>
          </w:tcPr>
          <w:p w14:paraId="0AF01AF7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38473319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3 (High)</w:t>
            </w:r>
          </w:p>
        </w:tc>
      </w:tr>
      <w:tr w:rsidR="00C11E13" w:rsidRPr="00C11E13" w14:paraId="054086BA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F9A20E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CLO-2: Applies sensory tests.</w:t>
            </w:r>
          </w:p>
        </w:tc>
        <w:tc>
          <w:tcPr>
            <w:tcW w:w="0" w:type="auto"/>
            <w:vAlign w:val="center"/>
            <w:hideMark/>
          </w:tcPr>
          <w:p w14:paraId="2DCACC67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581052AC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3 (High)</w:t>
            </w:r>
          </w:p>
        </w:tc>
      </w:tr>
      <w:tr w:rsidR="00C11E13" w:rsidRPr="00C11E13" w14:paraId="60B15A4F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7D32D0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CLO-3: Conducts panelist training.</w:t>
            </w:r>
          </w:p>
        </w:tc>
        <w:tc>
          <w:tcPr>
            <w:tcW w:w="0" w:type="auto"/>
            <w:vAlign w:val="center"/>
            <w:hideMark/>
          </w:tcPr>
          <w:p w14:paraId="3913139B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2BE3E412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C11E13" w:rsidRPr="00C11E13" w14:paraId="2AA6E001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26564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CLO-4: Evaluates sensory data.</w:t>
            </w:r>
          </w:p>
        </w:tc>
        <w:tc>
          <w:tcPr>
            <w:tcW w:w="0" w:type="auto"/>
            <w:vAlign w:val="center"/>
            <w:hideMark/>
          </w:tcPr>
          <w:p w14:paraId="1E5854E5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3DBD8512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C11E13" w:rsidRPr="00C11E13" w14:paraId="723E83CD" w14:textId="77777777" w:rsidTr="00C11E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EC3F62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CLO-5: Reports sensory results.</w:t>
            </w:r>
          </w:p>
        </w:tc>
        <w:tc>
          <w:tcPr>
            <w:tcW w:w="0" w:type="auto"/>
            <w:vAlign w:val="center"/>
            <w:hideMark/>
          </w:tcPr>
          <w:p w14:paraId="28487535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7EC54D97" w14:textId="77777777" w:rsidR="00C11E13" w:rsidRPr="00C11E13" w:rsidRDefault="00C11E13" w:rsidP="00C11E1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1E13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5D0B83F7" w14:textId="77777777" w:rsidR="00BB10DB" w:rsidRPr="00C11E13" w:rsidRDefault="00BB10DB" w:rsidP="00C11E1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C11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49C0"/>
    <w:multiLevelType w:val="multilevel"/>
    <w:tmpl w:val="0B287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47610A"/>
    <w:multiLevelType w:val="multilevel"/>
    <w:tmpl w:val="F670A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0E3BCA"/>
    <w:multiLevelType w:val="multilevel"/>
    <w:tmpl w:val="066E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D81774"/>
    <w:multiLevelType w:val="multilevel"/>
    <w:tmpl w:val="C8E45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AF50A7"/>
    <w:multiLevelType w:val="multilevel"/>
    <w:tmpl w:val="D20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76256F"/>
    <w:multiLevelType w:val="multilevel"/>
    <w:tmpl w:val="895C0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1602086">
    <w:abstractNumId w:val="4"/>
  </w:num>
  <w:num w:numId="2" w16cid:durableId="1607616652">
    <w:abstractNumId w:val="0"/>
  </w:num>
  <w:num w:numId="3" w16cid:durableId="30035370">
    <w:abstractNumId w:val="5"/>
  </w:num>
  <w:num w:numId="4" w16cid:durableId="632519706">
    <w:abstractNumId w:val="2"/>
  </w:num>
  <w:num w:numId="5" w16cid:durableId="1294409204">
    <w:abstractNumId w:val="1"/>
  </w:num>
  <w:num w:numId="6" w16cid:durableId="687175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0A"/>
    <w:rsid w:val="00082186"/>
    <w:rsid w:val="003440AE"/>
    <w:rsid w:val="00371EB3"/>
    <w:rsid w:val="005C5035"/>
    <w:rsid w:val="00BB10DB"/>
    <w:rsid w:val="00C11E13"/>
    <w:rsid w:val="00D2320A"/>
    <w:rsid w:val="00DB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FD761"/>
  <w15:chartTrackingRefBased/>
  <w15:docId w15:val="{FFE0B82E-E6AD-4212-A662-B44E8AB45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232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32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232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232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232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232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232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232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232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232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32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232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2320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2320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2320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2320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2320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2320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232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32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2320A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232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232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2320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2320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2320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232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2320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232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3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9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4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9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6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5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9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3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711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2025-06-22T07:22:00Z</dcterms:created>
  <dcterms:modified xsi:type="dcterms:W3CDTF">2025-06-24T08:40:00Z</dcterms:modified>
</cp:coreProperties>
</file>